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EB3F" w14:textId="3B8613D8" w:rsidR="007C54B9" w:rsidRPr="00857B0A" w:rsidRDefault="007C54B9" w:rsidP="007C54B9">
      <w:pPr>
        <w:rPr>
          <w:rFonts w:asciiTheme="majorHAnsi" w:hAnsiTheme="majorHAnsi"/>
        </w:rPr>
      </w:pPr>
      <w:bookmarkStart w:id="0" w:name="_Hlk179977286"/>
      <w:bookmarkStart w:id="1" w:name="_Hlk191539552"/>
      <w:r w:rsidRPr="00857B0A">
        <w:rPr>
          <w:rFonts w:asciiTheme="majorHAnsi" w:hAnsiTheme="majorHAnsi" w:cstheme="minorHAnsi"/>
          <w:sz w:val="32"/>
          <w:szCs w:val="32"/>
        </w:rPr>
        <w:br/>
      </w:r>
      <w:bookmarkStart w:id="2" w:name="_MailAutoSig"/>
      <w:r w:rsidRPr="00857B0A">
        <w:rPr>
          <w:rFonts w:asciiTheme="majorHAnsi" w:hAnsiTheme="majorHAnsi" w:cs="Times New Roman"/>
        </w:rPr>
        <w:t>SAJTÓKÖZLEMÉNY</w:t>
      </w:r>
    </w:p>
    <w:p w14:paraId="7A77E43A" w14:textId="6A27D87D" w:rsidR="003D018C" w:rsidRPr="00857B0A" w:rsidRDefault="007C54B9" w:rsidP="003D018C">
      <w:pPr>
        <w:rPr>
          <w:rFonts w:asciiTheme="majorHAnsi" w:hAnsiTheme="majorHAnsi"/>
          <w:b/>
          <w:bCs/>
          <w:sz w:val="32"/>
          <w:szCs w:val="32"/>
        </w:rPr>
      </w:pPr>
      <w:r w:rsidRPr="00857B0A">
        <w:rPr>
          <w:rFonts w:asciiTheme="majorHAnsi" w:hAnsiTheme="majorHAnsi" w:cs="Times New Roman"/>
          <w:b/>
          <w:bCs/>
          <w:sz w:val="28"/>
          <w:szCs w:val="28"/>
        </w:rPr>
        <w:br/>
      </w:r>
      <w:r w:rsidR="003D018C" w:rsidRPr="00857B0A">
        <w:rPr>
          <w:rFonts w:asciiTheme="majorHAnsi" w:hAnsiTheme="majorHAnsi"/>
          <w:b/>
          <w:bCs/>
          <w:sz w:val="32"/>
          <w:szCs w:val="32"/>
        </w:rPr>
        <w:t>185 friss diplomással zárta jubileumi tanévét a Színház- és Filmművészeti Egyetem</w:t>
      </w:r>
      <w:r w:rsidR="003D018C" w:rsidRPr="00857B0A">
        <w:rPr>
          <w:rFonts w:asciiTheme="majorHAnsi" w:hAnsiTheme="majorHAnsi"/>
          <w:b/>
          <w:bCs/>
          <w:sz w:val="32"/>
          <w:szCs w:val="32"/>
        </w:rPr>
        <w:br/>
      </w:r>
    </w:p>
    <w:p w14:paraId="647B71F0" w14:textId="77777777" w:rsidR="003D018C" w:rsidRPr="00857B0A" w:rsidRDefault="003D018C" w:rsidP="003D018C">
      <w:pPr>
        <w:rPr>
          <w:rFonts w:asciiTheme="majorHAnsi" w:hAnsiTheme="majorHAnsi"/>
        </w:rPr>
      </w:pPr>
      <w:r w:rsidRPr="00857B0A">
        <w:rPr>
          <w:rFonts w:asciiTheme="majorHAnsi" w:hAnsiTheme="majorHAnsi"/>
          <w:b/>
          <w:bCs/>
        </w:rPr>
        <w:t>A fennállásának 160. évfordulóját ünneplő Színház- és Filmművészeti Egyetem (SZFE) 2025. július 15-én tartotta tanévzáróval egybekötött diplomaátadó ünnepségét az Uránia Nemzeti Filmszínházban. A kiemelkedően sikeres 2024/2025-ös tanév végén</w:t>
      </w:r>
      <w:r w:rsidRPr="00857B0A">
        <w:rPr>
          <w:rFonts w:asciiTheme="majorHAnsi" w:hAnsiTheme="majorHAnsi"/>
        </w:rPr>
        <w:t xml:space="preserve"> </w:t>
      </w:r>
      <w:r w:rsidRPr="00857B0A">
        <w:rPr>
          <w:rFonts w:asciiTheme="majorHAnsi" w:hAnsiTheme="majorHAnsi"/>
          <w:b/>
          <w:bCs/>
        </w:rPr>
        <w:t>185 hallgató fejezte be tanulmányait és szerzett diplomát, nyolc doktorandusz DLA fokozatot kapott, ketten pedig habilitációs oklevelet szereztek</w:t>
      </w:r>
      <w:r w:rsidRPr="00857B0A">
        <w:rPr>
          <w:rFonts w:asciiTheme="majorHAnsi" w:hAnsiTheme="majorHAnsi"/>
        </w:rPr>
        <w:t>.</w:t>
      </w:r>
    </w:p>
    <w:p w14:paraId="167B06EB" w14:textId="36C068B1" w:rsidR="003D018C" w:rsidRPr="00857B0A" w:rsidRDefault="003D018C" w:rsidP="003D018C">
      <w:pPr>
        <w:rPr>
          <w:rFonts w:asciiTheme="majorHAnsi" w:hAnsiTheme="majorHAnsi"/>
        </w:rPr>
      </w:pPr>
      <w:r w:rsidRPr="00857B0A">
        <w:rPr>
          <w:rFonts w:asciiTheme="majorHAnsi" w:hAnsiTheme="majorHAnsi"/>
        </w:rPr>
        <w:br/>
      </w:r>
      <w:r w:rsidRPr="002128C4">
        <w:rPr>
          <w:rFonts w:asciiTheme="majorHAnsi" w:hAnsiTheme="majorHAnsi"/>
        </w:rPr>
        <w:t xml:space="preserve">Az eseményt </w:t>
      </w:r>
      <w:r w:rsidRPr="002128C4">
        <w:rPr>
          <w:rFonts w:asciiTheme="majorHAnsi" w:hAnsiTheme="majorHAnsi"/>
          <w:b/>
          <w:bCs/>
        </w:rPr>
        <w:t>dr. Varga-Bajusz Veronika</w:t>
      </w:r>
      <w:r w:rsidRPr="002128C4">
        <w:rPr>
          <w:rFonts w:asciiTheme="majorHAnsi" w:hAnsiTheme="majorHAnsi"/>
        </w:rPr>
        <w:t xml:space="preserve">, a felsőoktatásért, szak- és felnőttképzésért, fiatalokért felelős államtitkár nyitotta meg, köszöntőt mondott </w:t>
      </w:r>
      <w:r w:rsidRPr="002128C4">
        <w:rPr>
          <w:rFonts w:asciiTheme="majorHAnsi" w:hAnsiTheme="majorHAnsi"/>
          <w:b/>
          <w:bCs/>
        </w:rPr>
        <w:t>Káel Csaba</w:t>
      </w:r>
      <w:r w:rsidRPr="002128C4">
        <w:rPr>
          <w:rFonts w:asciiTheme="majorHAnsi" w:hAnsiTheme="majorHAnsi"/>
        </w:rPr>
        <w:t xml:space="preserve"> filmipari kormánybiztos, a végzős film- és televíziórendező osztály</w:t>
      </w:r>
      <w:r w:rsidRPr="00857B0A">
        <w:rPr>
          <w:rFonts w:asciiTheme="majorHAnsi" w:hAnsiTheme="majorHAnsi"/>
        </w:rPr>
        <w:t xml:space="preserve"> társosztályvezetője</w:t>
      </w:r>
      <w:r w:rsidRPr="002128C4">
        <w:rPr>
          <w:rFonts w:asciiTheme="majorHAnsi" w:hAnsiTheme="majorHAnsi"/>
        </w:rPr>
        <w:t xml:space="preserve">, valamint </w:t>
      </w:r>
      <w:r w:rsidRPr="002128C4">
        <w:rPr>
          <w:rFonts w:asciiTheme="majorHAnsi" w:hAnsiTheme="majorHAnsi"/>
          <w:b/>
          <w:bCs/>
        </w:rPr>
        <w:t>prof. dr. Sepsi Enikő</w:t>
      </w:r>
      <w:r w:rsidRPr="002128C4">
        <w:rPr>
          <w:rFonts w:asciiTheme="majorHAnsi" w:hAnsiTheme="majorHAnsi"/>
        </w:rPr>
        <w:t xml:space="preserve"> rektor, aki </w:t>
      </w:r>
      <w:r w:rsidRPr="00857B0A">
        <w:rPr>
          <w:rFonts w:asciiTheme="majorHAnsi" w:hAnsiTheme="majorHAnsi"/>
        </w:rPr>
        <w:t>az alábbi szavakkal zárta a tanévet</w:t>
      </w:r>
      <w:r w:rsidRPr="002128C4">
        <w:rPr>
          <w:rFonts w:asciiTheme="majorHAnsi" w:hAnsiTheme="majorHAnsi"/>
        </w:rPr>
        <w:t xml:space="preserve">: </w:t>
      </w:r>
      <w:r w:rsidRPr="002128C4">
        <w:rPr>
          <w:rFonts w:asciiTheme="majorHAnsi" w:hAnsiTheme="majorHAnsi"/>
          <w:i/>
          <w:iCs/>
        </w:rPr>
        <w:t>„</w:t>
      </w:r>
      <w:r w:rsidR="00286532" w:rsidRPr="00857B0A">
        <w:rPr>
          <w:rFonts w:asciiTheme="majorHAnsi" w:hAnsiTheme="majorHAnsi"/>
          <w:i/>
          <w:iCs/>
        </w:rPr>
        <w:t xml:space="preserve">A </w:t>
      </w:r>
      <w:r w:rsidR="00286532" w:rsidRPr="002128C4">
        <w:rPr>
          <w:rFonts w:asciiTheme="majorHAnsi" w:hAnsiTheme="majorHAnsi"/>
          <w:i/>
          <w:iCs/>
        </w:rPr>
        <w:t xml:space="preserve">Színház- és Filmművészeti Egyetem </w:t>
      </w:r>
      <w:r w:rsidR="00286532" w:rsidRPr="00857B0A">
        <w:rPr>
          <w:rFonts w:asciiTheme="majorHAnsi" w:hAnsiTheme="majorHAnsi"/>
          <w:i/>
          <w:iCs/>
        </w:rPr>
        <w:t xml:space="preserve">a </w:t>
      </w:r>
      <w:r w:rsidRPr="002128C4">
        <w:rPr>
          <w:rFonts w:asciiTheme="majorHAnsi" w:hAnsiTheme="majorHAnsi"/>
          <w:i/>
          <w:iCs/>
        </w:rPr>
        <w:t>160. jubileumi évében is bizonyította</w:t>
      </w:r>
      <w:r w:rsidR="00531A80" w:rsidRPr="00857B0A">
        <w:rPr>
          <w:rFonts w:asciiTheme="majorHAnsi" w:hAnsiTheme="majorHAnsi"/>
          <w:i/>
          <w:iCs/>
        </w:rPr>
        <w:t xml:space="preserve">, hogy </w:t>
      </w:r>
      <w:r w:rsidRPr="002128C4">
        <w:rPr>
          <w:rFonts w:asciiTheme="majorHAnsi" w:hAnsiTheme="majorHAnsi"/>
          <w:i/>
          <w:iCs/>
        </w:rPr>
        <w:t>továbbra is a magyar kulturális és művészeti élet egyik meghatározó műhelye. Olyan tehetséges, gondolkodó és érzékeny alkotókat bocsátunk útjukra, akik a digitalizálódó</w:t>
      </w:r>
      <w:r w:rsidR="00C86F76">
        <w:rPr>
          <w:rFonts w:asciiTheme="majorHAnsi" w:hAnsiTheme="majorHAnsi"/>
          <w:i/>
          <w:iCs/>
        </w:rPr>
        <w:t xml:space="preserve"> és a</w:t>
      </w:r>
      <w:r w:rsidRPr="002128C4">
        <w:rPr>
          <w:rFonts w:asciiTheme="majorHAnsi" w:hAnsiTheme="majorHAnsi"/>
          <w:i/>
          <w:iCs/>
        </w:rPr>
        <w:t xml:space="preserve"> mesterséges intelligencia uralta világban is pótolhatatlan emberi jelenlétet és alkotóerőt képviselnek.” </w:t>
      </w:r>
    </w:p>
    <w:p w14:paraId="67A43965" w14:textId="7A4A690A" w:rsidR="00D00574" w:rsidRPr="00857B0A" w:rsidRDefault="00D00574" w:rsidP="00D00574">
      <w:pPr>
        <w:pStyle w:val="Default"/>
        <w:jc w:val="both"/>
        <w:rPr>
          <w:rFonts w:asciiTheme="majorHAnsi" w:hAnsiTheme="majorHAnsi"/>
          <w:sz w:val="22"/>
          <w:szCs w:val="22"/>
          <w:lang w:val="hu-HU"/>
        </w:rPr>
      </w:pPr>
      <w:r w:rsidRPr="00857B0A">
        <w:rPr>
          <w:rFonts w:asciiTheme="majorHAnsi" w:hAnsiTheme="majorHAnsi"/>
          <w:lang w:val="hu-HU"/>
        </w:rPr>
        <w:br/>
      </w:r>
      <w:r w:rsidRPr="00857B0A">
        <w:rPr>
          <w:rFonts w:asciiTheme="majorHAnsi" w:hAnsiTheme="majorHAnsi"/>
          <w:sz w:val="22"/>
          <w:szCs w:val="22"/>
          <w:lang w:val="hu-HU"/>
        </w:rPr>
        <w:t xml:space="preserve">A rektor rámutatott, hogy az intézményfejlesztési stratégiával összhangban </w:t>
      </w:r>
      <w:r w:rsidRPr="00857B0A">
        <w:rPr>
          <w:rFonts w:asciiTheme="majorHAnsi" w:hAnsiTheme="majorHAnsi"/>
          <w:b/>
          <w:bCs/>
          <w:sz w:val="22"/>
          <w:szCs w:val="22"/>
          <w:lang w:val="hu-HU"/>
        </w:rPr>
        <w:t>a 2024–2025-ös tanév az SZFE számára a nemzetközi nyitás jegyében telt</w:t>
      </w:r>
      <w:r w:rsidR="00A8736A" w:rsidRPr="00857B0A">
        <w:rPr>
          <w:rFonts w:asciiTheme="majorHAnsi" w:hAnsiTheme="majorHAnsi"/>
          <w:b/>
          <w:bCs/>
          <w:sz w:val="22"/>
          <w:szCs w:val="22"/>
          <w:lang w:val="hu-HU"/>
        </w:rPr>
        <w:t xml:space="preserve">. </w:t>
      </w:r>
      <w:r w:rsidRPr="00857B0A">
        <w:rPr>
          <w:rFonts w:asciiTheme="majorHAnsi" w:hAnsiTheme="majorHAnsi"/>
          <w:sz w:val="22"/>
          <w:szCs w:val="22"/>
          <w:lang w:val="hu-HU"/>
        </w:rPr>
        <w:t xml:space="preserve">Ez a célkitűzés a </w:t>
      </w:r>
      <w:r w:rsidR="00A8736A" w:rsidRPr="00857B0A">
        <w:rPr>
          <w:rFonts w:asciiTheme="majorHAnsi" w:hAnsiTheme="majorHAnsi"/>
          <w:sz w:val="22"/>
          <w:szCs w:val="22"/>
          <w:lang w:val="hu-HU"/>
        </w:rPr>
        <w:t xml:space="preserve">tanévben 30 külföldi elméleti és gyakorlati színházi és filmes szakember meghívásában, a </w:t>
      </w:r>
      <w:r w:rsidRPr="00857B0A">
        <w:rPr>
          <w:rFonts w:asciiTheme="majorHAnsi" w:hAnsiTheme="majorHAnsi"/>
          <w:sz w:val="22"/>
          <w:szCs w:val="22"/>
          <w:lang w:val="hu-HU"/>
        </w:rPr>
        <w:t>hallgatók és oktatók szakmai fejlődését támogató mobilitási lehetőségek bővítésében, valamint a nemzetközi fesztiválokon és szakmai együttműködésekben való aktív jelenlétben is megmutatkozott.</w:t>
      </w:r>
    </w:p>
    <w:p w14:paraId="45C42603" w14:textId="77777777" w:rsidR="00D00574" w:rsidRPr="00857B0A" w:rsidRDefault="00D00574" w:rsidP="00D00574">
      <w:pPr>
        <w:pStyle w:val="Default"/>
        <w:jc w:val="both"/>
        <w:rPr>
          <w:rFonts w:asciiTheme="majorHAnsi" w:hAnsiTheme="majorHAnsi"/>
          <w:sz w:val="22"/>
          <w:szCs w:val="22"/>
          <w:lang w:val="hu-HU"/>
        </w:rPr>
      </w:pPr>
    </w:p>
    <w:p w14:paraId="1207ADEB" w14:textId="5EA7553B" w:rsidR="00D00574" w:rsidRPr="00857B0A" w:rsidRDefault="00D00574" w:rsidP="00D00574">
      <w:pPr>
        <w:pStyle w:val="Default"/>
        <w:jc w:val="both"/>
        <w:rPr>
          <w:rFonts w:asciiTheme="majorHAnsi" w:hAnsiTheme="majorHAnsi"/>
          <w:sz w:val="22"/>
          <w:szCs w:val="22"/>
          <w:lang w:val="hu-HU"/>
        </w:rPr>
      </w:pPr>
      <w:r w:rsidRPr="00D00574">
        <w:rPr>
          <w:rFonts w:asciiTheme="majorHAnsi" w:hAnsiTheme="majorHAnsi"/>
          <w:i/>
          <w:iCs/>
          <w:sz w:val="22"/>
          <w:szCs w:val="22"/>
          <w:lang w:val="hu-HU"/>
        </w:rPr>
        <w:t>„Az SZFE egyik legfontosabb törekvése, hogy a hazai művészeti felsőoktatás meghatározó szereplőjeként mind szorosabban kapcsolódjon a nemzetközi művészeti oktatás vérkeringésébe. Az elmúlt években ezen a téren jelentős előrelépést tettünk, ennek köszönhetően hallgatóink számára kivételes lehetőségek nyílnak a nemzetközi színházi és filmes világ megismerésére”</w:t>
      </w:r>
      <w:r w:rsidRPr="00D00574">
        <w:rPr>
          <w:rFonts w:asciiTheme="majorHAnsi" w:hAnsiTheme="majorHAnsi"/>
          <w:sz w:val="22"/>
          <w:szCs w:val="22"/>
          <w:lang w:val="hu-HU"/>
        </w:rPr>
        <w:t xml:space="preserve"> – emelte ki beszédében prof. dr. Sepsi Enikő.</w:t>
      </w:r>
    </w:p>
    <w:p w14:paraId="270E901D" w14:textId="77777777" w:rsidR="00D00574" w:rsidRPr="00D00574" w:rsidRDefault="00D00574" w:rsidP="00D00574">
      <w:pPr>
        <w:pStyle w:val="Default"/>
        <w:jc w:val="both"/>
        <w:rPr>
          <w:rFonts w:asciiTheme="majorHAnsi" w:hAnsiTheme="majorHAnsi"/>
          <w:sz w:val="22"/>
          <w:szCs w:val="22"/>
          <w:lang w:val="hu-HU"/>
        </w:rPr>
      </w:pPr>
    </w:p>
    <w:p w14:paraId="22912ED5" w14:textId="6DFBC52C" w:rsidR="00AF78F0" w:rsidRPr="00857B0A" w:rsidRDefault="00AF78F0" w:rsidP="00D00574">
      <w:pPr>
        <w:pStyle w:val="Default"/>
        <w:jc w:val="both"/>
        <w:rPr>
          <w:rFonts w:asciiTheme="majorHAnsi" w:hAnsiTheme="majorHAnsi"/>
          <w:sz w:val="22"/>
          <w:szCs w:val="22"/>
          <w:lang w:val="hu-HU"/>
        </w:rPr>
      </w:pPr>
      <w:r w:rsidRPr="00AF78F0">
        <w:rPr>
          <w:rFonts w:asciiTheme="majorHAnsi" w:hAnsiTheme="majorHAnsi"/>
          <w:sz w:val="22"/>
          <w:szCs w:val="22"/>
          <w:lang w:val="hu-HU"/>
        </w:rPr>
        <w:t xml:space="preserve">A </w:t>
      </w:r>
      <w:r w:rsidR="00D00574" w:rsidRPr="00857B0A">
        <w:rPr>
          <w:rFonts w:asciiTheme="majorHAnsi" w:hAnsiTheme="majorHAnsi"/>
          <w:sz w:val="22"/>
          <w:szCs w:val="22"/>
          <w:lang w:val="hu-HU"/>
        </w:rPr>
        <w:t>nemzetközi törekvések erősítését szem előtt tartva</w:t>
      </w:r>
      <w:r w:rsidR="00D00574" w:rsidRPr="00857B0A">
        <w:rPr>
          <w:rFonts w:asciiTheme="majorHAnsi" w:hAnsiTheme="majorHAnsi"/>
          <w:b/>
          <w:bCs/>
          <w:sz w:val="22"/>
          <w:szCs w:val="22"/>
          <w:lang w:val="hu-HU"/>
        </w:rPr>
        <w:t xml:space="preserve"> 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az </w:t>
      </w:r>
      <w:r w:rsidRPr="00AF78F0">
        <w:rPr>
          <w:rFonts w:asciiTheme="majorHAnsi" w:hAnsiTheme="majorHAnsi"/>
          <w:b/>
          <w:bCs/>
          <w:sz w:val="22"/>
          <w:szCs w:val="22"/>
          <w:lang w:val="hu-HU"/>
        </w:rPr>
        <w:t>SZFE számos elismert professzort látott vendégül,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 többek között </w:t>
      </w:r>
      <w:r w:rsidR="00A8736A" w:rsidRPr="00857B0A">
        <w:rPr>
          <w:rFonts w:asciiTheme="majorHAnsi" w:hAnsiTheme="majorHAnsi"/>
          <w:sz w:val="22"/>
          <w:szCs w:val="22"/>
          <w:lang w:val="hu-HU"/>
        </w:rPr>
        <w:t xml:space="preserve">Steven Bognár, Simon </w:t>
      </w:r>
      <w:proofErr w:type="spellStart"/>
      <w:r w:rsidR="00A8736A" w:rsidRPr="00857B0A">
        <w:rPr>
          <w:rFonts w:asciiTheme="majorHAnsi" w:hAnsiTheme="majorHAnsi"/>
          <w:sz w:val="22"/>
          <w:szCs w:val="22"/>
          <w:lang w:val="hu-HU"/>
        </w:rPr>
        <w:t>Godhill</w:t>
      </w:r>
      <w:proofErr w:type="spellEnd"/>
      <w:r w:rsidR="00A8736A" w:rsidRPr="00857B0A">
        <w:rPr>
          <w:rFonts w:asciiTheme="majorHAnsi" w:hAnsiTheme="majorHAnsi"/>
          <w:sz w:val="22"/>
          <w:szCs w:val="22"/>
          <w:lang w:val="hu-HU"/>
        </w:rPr>
        <w:t xml:space="preserve"> és </w:t>
      </w:r>
      <w:proofErr w:type="spellStart"/>
      <w:r w:rsidRPr="00AF78F0">
        <w:rPr>
          <w:rFonts w:asciiTheme="majorHAnsi" w:hAnsiTheme="majorHAnsi"/>
          <w:sz w:val="22"/>
          <w:szCs w:val="22"/>
          <w:lang w:val="hu-HU"/>
        </w:rPr>
        <w:t>Valère</w:t>
      </w:r>
      <w:proofErr w:type="spellEnd"/>
      <w:r w:rsidRPr="00AF78F0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Pr="00AF78F0">
        <w:rPr>
          <w:rFonts w:asciiTheme="majorHAnsi" w:hAnsiTheme="majorHAnsi"/>
          <w:sz w:val="22"/>
          <w:szCs w:val="22"/>
          <w:lang w:val="hu-HU"/>
        </w:rPr>
        <w:t>Novarina</w:t>
      </w:r>
      <w:proofErr w:type="spellEnd"/>
      <w:r w:rsidRPr="00AF78F0">
        <w:rPr>
          <w:rFonts w:asciiTheme="majorHAnsi" w:hAnsiTheme="majorHAnsi"/>
          <w:sz w:val="22"/>
          <w:szCs w:val="22"/>
          <w:lang w:val="hu-HU"/>
        </w:rPr>
        <w:t xml:space="preserve"> tartott kurzusokat, miközben hallgatók, oktatók és munkatársak 18 ország szakmai programjaiban vettek részt. Az egyetem több mint 44 partnerszerződéssel rendelkezik nemzetközi intézményekkel, köztük a Cannes-i Filmfesztivállal, </w:t>
      </w:r>
      <w:r w:rsidRPr="00857B0A">
        <w:rPr>
          <w:rFonts w:asciiTheme="majorHAnsi" w:hAnsiTheme="majorHAnsi"/>
          <w:sz w:val="22"/>
          <w:szCs w:val="22"/>
          <w:lang w:val="hu-HU"/>
        </w:rPr>
        <w:t>emellett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 a nemrég lezárult, </w:t>
      </w:r>
      <w:r w:rsidR="00430915" w:rsidRPr="00857B0A">
        <w:rPr>
          <w:rFonts w:asciiTheme="majorHAnsi" w:hAnsiTheme="majorHAnsi"/>
          <w:sz w:val="22"/>
          <w:szCs w:val="22"/>
          <w:lang w:val="hu-HU"/>
        </w:rPr>
        <w:t xml:space="preserve">hat </w:t>
      </w:r>
      <w:r w:rsidRPr="00AF78F0">
        <w:rPr>
          <w:rFonts w:asciiTheme="majorHAnsi" w:hAnsiTheme="majorHAnsi"/>
          <w:sz w:val="22"/>
          <w:szCs w:val="22"/>
          <w:lang w:val="hu-HU"/>
        </w:rPr>
        <w:t>ország részvételével megvalósult, nagy sikerű soproni Nemzetközi Színházi Műhely is tovább erősítette nemzetközi szakmai beágyazottságát.</w:t>
      </w:r>
    </w:p>
    <w:p w14:paraId="26BB1BB6" w14:textId="77777777" w:rsidR="00AF78F0" w:rsidRPr="00AF78F0" w:rsidRDefault="00AF78F0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</w:p>
    <w:p w14:paraId="15B2F728" w14:textId="48DB0C54" w:rsidR="009F695C" w:rsidRPr="00857B0A" w:rsidRDefault="00AF78F0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  <w:r w:rsidRPr="00AF78F0">
        <w:rPr>
          <w:rFonts w:asciiTheme="majorHAnsi" w:hAnsiTheme="majorHAnsi"/>
          <w:sz w:val="22"/>
          <w:szCs w:val="22"/>
          <w:lang w:val="hu-HU"/>
        </w:rPr>
        <w:t xml:space="preserve">A tanév során a </w:t>
      </w:r>
      <w:r w:rsidRPr="00AF78F0">
        <w:rPr>
          <w:rFonts w:asciiTheme="majorHAnsi" w:hAnsiTheme="majorHAnsi"/>
          <w:b/>
          <w:bCs/>
          <w:sz w:val="22"/>
          <w:szCs w:val="22"/>
          <w:lang w:val="hu-HU"/>
        </w:rPr>
        <w:t>Zsigmond Vilmos Mozgóképművészeti Intézet hallgatói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 filmjeikkel számos hazai és nemzetközi fesztiválon arattak sikert, többek között a Friss Hús Budapesten, a Zsigmond Vilmos Nemzetközi Filmfesztiválon, a Magyar Mozgókép Fesztiválon, a </w:t>
      </w:r>
      <w:proofErr w:type="spellStart"/>
      <w:r w:rsidRPr="00AF78F0">
        <w:rPr>
          <w:rFonts w:asciiTheme="majorHAnsi" w:hAnsiTheme="majorHAnsi"/>
          <w:sz w:val="22"/>
          <w:szCs w:val="22"/>
          <w:lang w:val="hu-HU"/>
        </w:rPr>
        <w:t>Blue</w:t>
      </w:r>
      <w:proofErr w:type="spellEnd"/>
      <w:r w:rsidRPr="00AF78F0">
        <w:rPr>
          <w:rFonts w:asciiTheme="majorHAnsi" w:hAnsiTheme="majorHAnsi"/>
          <w:sz w:val="22"/>
          <w:szCs w:val="22"/>
          <w:lang w:val="hu-HU"/>
        </w:rPr>
        <w:t xml:space="preserve"> </w:t>
      </w:r>
      <w:proofErr w:type="spellStart"/>
      <w:r w:rsidRPr="00AF78F0">
        <w:rPr>
          <w:rFonts w:asciiTheme="majorHAnsi" w:hAnsiTheme="majorHAnsi"/>
          <w:sz w:val="22"/>
          <w:szCs w:val="22"/>
          <w:lang w:val="hu-HU"/>
        </w:rPr>
        <w:t>Danube</w:t>
      </w:r>
      <w:proofErr w:type="spellEnd"/>
      <w:r w:rsidRPr="00AF78F0">
        <w:rPr>
          <w:rFonts w:asciiTheme="majorHAnsi" w:hAnsiTheme="majorHAnsi"/>
          <w:sz w:val="22"/>
          <w:szCs w:val="22"/>
          <w:lang w:val="hu-HU"/>
        </w:rPr>
        <w:t xml:space="preserve"> és a </w:t>
      </w:r>
      <w:proofErr w:type="spellStart"/>
      <w:r w:rsidRPr="00AF78F0">
        <w:rPr>
          <w:rFonts w:asciiTheme="majorHAnsi" w:hAnsiTheme="majorHAnsi"/>
          <w:sz w:val="22"/>
          <w:szCs w:val="22"/>
          <w:lang w:val="hu-HU"/>
        </w:rPr>
        <w:t>DocsBarcelona</w:t>
      </w:r>
      <w:proofErr w:type="spellEnd"/>
      <w:r w:rsidRPr="00AF78F0">
        <w:rPr>
          <w:rFonts w:asciiTheme="majorHAnsi" w:hAnsiTheme="majorHAnsi"/>
          <w:sz w:val="22"/>
          <w:szCs w:val="22"/>
          <w:lang w:val="hu-HU"/>
        </w:rPr>
        <w:t xml:space="preserve"> programjában. A hallgatói alkotómunkát a </w:t>
      </w:r>
      <w:r w:rsidR="00FD3344" w:rsidRPr="00857B0A">
        <w:rPr>
          <w:rFonts w:asciiTheme="majorHAnsi" w:hAnsiTheme="majorHAnsi"/>
          <w:sz w:val="22"/>
          <w:szCs w:val="22"/>
          <w:lang w:val="hu-HU"/>
        </w:rPr>
        <w:t>tavaly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 átadott Virtuális Stúdió, a</w:t>
      </w:r>
      <w:r w:rsidR="00FD3344" w:rsidRPr="00857B0A">
        <w:rPr>
          <w:rFonts w:asciiTheme="majorHAnsi" w:hAnsiTheme="majorHAnsi"/>
          <w:sz w:val="22"/>
          <w:szCs w:val="22"/>
          <w:lang w:val="hu-HU"/>
        </w:rPr>
        <w:t>z ősszel átadott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 Kovács László Műterem, valamint az ország egyetlen egyetemi 35 mm-es filmlaborja is segítette, lehetőséget teremtve a hagyományos és a legmodernebb filmes technikák egyidejű elsajátítására.</w:t>
      </w:r>
    </w:p>
    <w:p w14:paraId="2D27F49C" w14:textId="77777777" w:rsidR="009F695C" w:rsidRPr="00857B0A" w:rsidRDefault="009F695C" w:rsidP="00AF78F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4236DFC9" w14:textId="781E5A47" w:rsidR="00AF78F0" w:rsidRPr="00AF78F0" w:rsidRDefault="00AF78F0" w:rsidP="00AF78F0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AF78F0">
        <w:rPr>
          <w:rFonts w:asciiTheme="minorHAnsi" w:hAnsiTheme="minorHAnsi"/>
          <w:sz w:val="22"/>
          <w:szCs w:val="22"/>
          <w:lang w:val="hu-HU"/>
        </w:rPr>
        <w:t xml:space="preserve">A </w:t>
      </w:r>
      <w:r w:rsidRPr="00AF78F0">
        <w:rPr>
          <w:rFonts w:asciiTheme="minorHAnsi" w:hAnsiTheme="minorHAnsi"/>
          <w:b/>
          <w:bCs/>
          <w:sz w:val="22"/>
          <w:szCs w:val="22"/>
          <w:lang w:val="hu-HU"/>
        </w:rPr>
        <w:t>színházi területen is kiemelkedő teljesítmények születtek</w:t>
      </w:r>
      <w:r w:rsidRPr="00AF78F0">
        <w:rPr>
          <w:rFonts w:asciiTheme="minorHAnsi" w:hAnsiTheme="minorHAnsi"/>
          <w:sz w:val="22"/>
          <w:szCs w:val="22"/>
          <w:lang w:val="hu-HU"/>
        </w:rPr>
        <w:t xml:space="preserve">: a Sinkovits Imre Színházművészeti Intézet hallgatói több mint 340 előadásban mutathatták meg tehetségüket, produkcióik Londonban, Isztambulban, Marosvásárhelyen és Torockón is kedvező fogadtatásban részesültek. </w:t>
      </w:r>
      <w:r w:rsidR="00531A43" w:rsidRPr="00857B0A">
        <w:rPr>
          <w:rFonts w:asciiTheme="minorHAnsi" w:hAnsiTheme="minorHAnsi"/>
          <w:sz w:val="22"/>
          <w:szCs w:val="22"/>
          <w:lang w:val="hu-HU"/>
        </w:rPr>
        <w:t xml:space="preserve">Hallgatóink </w:t>
      </w:r>
      <w:r w:rsidR="00531A43" w:rsidRPr="00857B0A">
        <w:rPr>
          <w:rFonts w:asciiTheme="minorHAnsi" w:hAnsiTheme="minorHAnsi"/>
          <w:sz w:val="22"/>
          <w:szCs w:val="22"/>
          <w:lang w:val="hu-HU"/>
        </w:rPr>
        <w:t>7 fesztiválon 16 előadással szerepelt</w:t>
      </w:r>
      <w:r w:rsidR="00531A43" w:rsidRPr="00857B0A">
        <w:rPr>
          <w:rFonts w:asciiTheme="minorHAnsi" w:hAnsiTheme="minorHAnsi"/>
          <w:sz w:val="22"/>
          <w:szCs w:val="22"/>
          <w:lang w:val="hu-HU"/>
        </w:rPr>
        <w:t>ek</w:t>
      </w:r>
      <w:r w:rsidR="00531A43" w:rsidRPr="00857B0A">
        <w:rPr>
          <w:rFonts w:asciiTheme="minorHAnsi" w:hAnsiTheme="minorHAnsi"/>
          <w:sz w:val="22"/>
          <w:szCs w:val="22"/>
          <w:lang w:val="hu-HU"/>
        </w:rPr>
        <w:t>, ill</w:t>
      </w:r>
      <w:r w:rsidR="00531A43" w:rsidRPr="00857B0A">
        <w:rPr>
          <w:rFonts w:asciiTheme="minorHAnsi" w:hAnsiTheme="minorHAnsi"/>
          <w:sz w:val="22"/>
          <w:szCs w:val="22"/>
          <w:lang w:val="hu-HU"/>
        </w:rPr>
        <w:t>etve szerepelnek</w:t>
      </w:r>
      <w:r w:rsidR="00531A43" w:rsidRPr="00857B0A">
        <w:rPr>
          <w:rFonts w:asciiTheme="minorHAnsi" w:hAnsiTheme="minorHAnsi"/>
          <w:sz w:val="22"/>
          <w:szCs w:val="22"/>
          <w:lang w:val="hu-HU"/>
        </w:rPr>
        <w:t xml:space="preserve"> a nyári időszakban</w:t>
      </w:r>
      <w:r w:rsidR="00531A43" w:rsidRPr="00857B0A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60DA4790" w14:textId="77777777" w:rsidR="00AF78F0" w:rsidRPr="00857B0A" w:rsidRDefault="00AF78F0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</w:p>
    <w:p w14:paraId="4E34047A" w14:textId="68A9C5E1" w:rsidR="00AF78F0" w:rsidRPr="00AF78F0" w:rsidRDefault="00AF78F0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  <w:r w:rsidRPr="00AF78F0">
        <w:rPr>
          <w:rFonts w:asciiTheme="majorHAnsi" w:hAnsiTheme="majorHAnsi"/>
          <w:sz w:val="22"/>
          <w:szCs w:val="22"/>
          <w:lang w:val="hu-HU"/>
        </w:rPr>
        <w:t xml:space="preserve">Fontos mérföldkövet jelentett </w:t>
      </w:r>
      <w:r w:rsidRPr="00AF78F0">
        <w:rPr>
          <w:rFonts w:asciiTheme="majorHAnsi" w:hAnsiTheme="majorHAnsi"/>
          <w:b/>
          <w:bCs/>
          <w:sz w:val="22"/>
          <w:szCs w:val="22"/>
          <w:lang w:val="hu-HU"/>
        </w:rPr>
        <w:t>a Németh Antal Drámaelméleti Intézetben elindított színház- és filmművészeti tanár mesterképzés</w:t>
      </w:r>
      <w:r w:rsidR="00531A43" w:rsidRPr="00857B0A">
        <w:rPr>
          <w:rFonts w:asciiTheme="majorHAnsi" w:hAnsiTheme="majorHAnsi"/>
          <w:b/>
          <w:bCs/>
          <w:sz w:val="22"/>
          <w:szCs w:val="22"/>
          <w:lang w:val="hu-HU"/>
        </w:rPr>
        <w:t xml:space="preserve">, </w:t>
      </w:r>
      <w:r w:rsidR="00531A43" w:rsidRPr="00857B0A">
        <w:rPr>
          <w:rFonts w:asciiTheme="majorHAnsi" w:hAnsiTheme="majorHAnsi"/>
          <w:sz w:val="22"/>
          <w:szCs w:val="22"/>
          <w:lang w:val="hu-HU"/>
        </w:rPr>
        <w:t xml:space="preserve">valamint a Zsigmond Vilmos Mozgóképművészeti Intézetben indított, </w:t>
      </w:r>
      <w:proofErr w:type="spellStart"/>
      <w:r w:rsidR="00531A43" w:rsidRPr="00857B0A">
        <w:rPr>
          <w:rFonts w:asciiTheme="majorHAnsi" w:hAnsiTheme="majorHAnsi"/>
          <w:b/>
          <w:bCs/>
          <w:sz w:val="22"/>
          <w:szCs w:val="22"/>
          <w:lang w:val="hu-HU"/>
        </w:rPr>
        <w:t>second</w:t>
      </w:r>
      <w:proofErr w:type="spellEnd"/>
      <w:r w:rsidR="00531A43" w:rsidRPr="00857B0A">
        <w:rPr>
          <w:rFonts w:asciiTheme="majorHAnsi" w:hAnsiTheme="majorHAnsi"/>
          <w:b/>
          <w:bCs/>
          <w:sz w:val="22"/>
          <w:szCs w:val="22"/>
          <w:lang w:val="hu-HU"/>
        </w:rPr>
        <w:t xml:space="preserve"> unit képzés </w:t>
      </w:r>
      <w:r w:rsidRPr="00AF78F0">
        <w:rPr>
          <w:rFonts w:asciiTheme="majorHAnsi" w:hAnsiTheme="majorHAnsi"/>
          <w:sz w:val="22"/>
          <w:szCs w:val="22"/>
          <w:lang w:val="hu-HU"/>
        </w:rPr>
        <w:t>első évfolyamának sikeres kibocsátása</w:t>
      </w:r>
      <w:r w:rsidR="00857B0A" w:rsidRPr="00857B0A">
        <w:rPr>
          <w:rFonts w:asciiTheme="majorHAnsi" w:hAnsiTheme="majorHAnsi"/>
          <w:sz w:val="22"/>
          <w:szCs w:val="22"/>
          <w:lang w:val="hu-HU"/>
        </w:rPr>
        <w:t xml:space="preserve">. </w:t>
      </w:r>
      <w:r w:rsidRPr="00857B0A">
        <w:rPr>
          <w:rFonts w:asciiTheme="majorHAnsi" w:hAnsiTheme="majorHAnsi"/>
          <w:sz w:val="22"/>
          <w:szCs w:val="22"/>
          <w:lang w:val="hu-HU"/>
        </w:rPr>
        <w:t>További k</w:t>
      </w:r>
      <w:r w:rsidRPr="00AF78F0">
        <w:rPr>
          <w:rFonts w:asciiTheme="majorHAnsi" w:hAnsiTheme="majorHAnsi"/>
          <w:sz w:val="22"/>
          <w:szCs w:val="22"/>
          <w:lang w:val="hu-HU"/>
        </w:rPr>
        <w:t>iemelkedő eredmény, hogy az Országos Tudományos Diákköri Konferencia Művészeti és Művészettudományi Szekciójában tíz hallgató ért el helyezést.</w:t>
      </w:r>
    </w:p>
    <w:p w14:paraId="3EE61122" w14:textId="77777777" w:rsidR="00AF78F0" w:rsidRPr="00857B0A" w:rsidRDefault="00AF78F0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</w:p>
    <w:p w14:paraId="0E26CAC4" w14:textId="0B00E20E" w:rsidR="00D00574" w:rsidRPr="00857B0A" w:rsidRDefault="00857B0A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  <w:r w:rsidRPr="00857B0A">
        <w:rPr>
          <w:rFonts w:asciiTheme="majorHAnsi" w:hAnsiTheme="majorHAnsi"/>
          <w:sz w:val="22"/>
          <w:szCs w:val="22"/>
          <w:lang w:val="hu-HU"/>
        </w:rPr>
        <w:t xml:space="preserve">Az </w:t>
      </w:r>
      <w:r w:rsidRPr="00857B0A">
        <w:rPr>
          <w:rFonts w:asciiTheme="majorHAnsi" w:hAnsiTheme="majorHAnsi"/>
          <w:b/>
          <w:bCs/>
          <w:sz w:val="22"/>
          <w:szCs w:val="22"/>
          <w:lang w:val="hu-HU"/>
        </w:rPr>
        <w:t>egyetem tudományos élete is lendületet kapott</w:t>
      </w:r>
      <w:r w:rsidRPr="00857B0A">
        <w:rPr>
          <w:rFonts w:asciiTheme="majorHAnsi" w:hAnsiTheme="majorHAnsi"/>
          <w:sz w:val="22"/>
          <w:szCs w:val="22"/>
          <w:lang w:val="hu-HU"/>
        </w:rPr>
        <w:t xml:space="preserve">: a Doktori Iskola hallgatói rangos hazai és nemzetközi konferenciákon mutatták be kutatásaikat, megkezdődtek a színházszociológiai </w:t>
      </w:r>
      <w:r w:rsidRPr="00857B0A">
        <w:rPr>
          <w:rFonts w:asciiTheme="majorHAnsi" w:hAnsiTheme="majorHAnsi"/>
          <w:sz w:val="22"/>
          <w:szCs w:val="22"/>
          <w:lang w:val="hu-HU"/>
        </w:rPr>
        <w:t>kutatások</w:t>
      </w:r>
      <w:r w:rsidRPr="00857B0A">
        <w:rPr>
          <w:rFonts w:asciiTheme="majorHAnsi" w:hAnsiTheme="majorHAnsi"/>
          <w:sz w:val="22"/>
          <w:szCs w:val="22"/>
          <w:lang w:val="hu-HU"/>
        </w:rPr>
        <w:t>, míg az SZFE Könyvek sorozat elindítása lehetőséget teremtett a friss kutatási eredmények publikálására és a szakmai diskurzus bővítésére.</w:t>
      </w:r>
    </w:p>
    <w:p w14:paraId="293B9E34" w14:textId="77777777" w:rsidR="00857B0A" w:rsidRPr="00AF78F0" w:rsidRDefault="00857B0A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</w:p>
    <w:p w14:paraId="5C5C4A08" w14:textId="02CE9BCC" w:rsidR="00AF78F0" w:rsidRPr="00AF78F0" w:rsidRDefault="00AF78F0" w:rsidP="00AF78F0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  <w:lang w:val="hu-HU"/>
        </w:rPr>
      </w:pPr>
      <w:r w:rsidRPr="00AF78F0">
        <w:rPr>
          <w:rFonts w:asciiTheme="majorHAnsi" w:hAnsiTheme="majorHAnsi"/>
          <w:sz w:val="22"/>
          <w:szCs w:val="22"/>
          <w:lang w:val="hu-HU"/>
        </w:rPr>
        <w:t>A felvételi időszak tapasztalatai is bizakodásra adnak okot</w:t>
      </w:r>
      <w:r w:rsidR="009F695C" w:rsidRPr="00857B0A">
        <w:rPr>
          <w:rFonts w:asciiTheme="majorHAnsi" w:hAnsiTheme="majorHAnsi"/>
          <w:sz w:val="22"/>
          <w:szCs w:val="22"/>
          <w:lang w:val="hu-HU"/>
        </w:rPr>
        <w:t>.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 </w:t>
      </w:r>
      <w:r w:rsidR="009F695C" w:rsidRPr="00857B0A">
        <w:rPr>
          <w:rFonts w:asciiTheme="majorHAnsi" w:hAnsiTheme="majorHAnsi"/>
          <w:sz w:val="22"/>
          <w:szCs w:val="22"/>
          <w:lang w:val="hu-HU"/>
        </w:rPr>
        <w:t>A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 legtöbb szakon 20–36-szoros túljelentkezés mutatkozott, a </w:t>
      </w:r>
      <w:r w:rsidR="00430915" w:rsidRPr="00857B0A">
        <w:rPr>
          <w:rFonts w:asciiTheme="majorHAnsi" w:hAnsiTheme="majorHAnsi"/>
          <w:sz w:val="22"/>
          <w:szCs w:val="22"/>
          <w:lang w:val="hu-HU"/>
        </w:rPr>
        <w:t>D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oktori </w:t>
      </w:r>
      <w:r w:rsidR="00430915" w:rsidRPr="00857B0A">
        <w:rPr>
          <w:rFonts w:asciiTheme="majorHAnsi" w:hAnsiTheme="majorHAnsi"/>
          <w:sz w:val="22"/>
          <w:szCs w:val="22"/>
          <w:lang w:val="hu-HU"/>
        </w:rPr>
        <w:t>I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skolába pedig 28 fő nyújtott be pályázatot, amely az egyetem iránti töretlen bizalmat tükrözi. Az </w:t>
      </w:r>
      <w:r w:rsidRPr="00AF78F0">
        <w:rPr>
          <w:rFonts w:asciiTheme="majorHAnsi" w:hAnsiTheme="majorHAnsi"/>
          <w:b/>
          <w:bCs/>
          <w:sz w:val="22"/>
          <w:szCs w:val="22"/>
          <w:lang w:val="hu-HU"/>
        </w:rPr>
        <w:t>SZFE a következő tanévben új képzéseket és szakmai programokat indít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: elindul a </w:t>
      </w:r>
      <w:r w:rsidR="00531A43" w:rsidRPr="00857B0A">
        <w:rPr>
          <w:rFonts w:asciiTheme="majorHAnsi" w:hAnsiTheme="majorHAnsi"/>
          <w:sz w:val="22"/>
          <w:szCs w:val="22"/>
          <w:lang w:val="hu-HU"/>
        </w:rPr>
        <w:t>héber osztály</w:t>
      </w:r>
      <w:r w:rsidRPr="00AF78F0">
        <w:rPr>
          <w:rFonts w:asciiTheme="majorHAnsi" w:hAnsiTheme="majorHAnsi"/>
          <w:sz w:val="22"/>
          <w:szCs w:val="22"/>
          <w:lang w:val="hu-HU"/>
        </w:rPr>
        <w:t xml:space="preserve">, első alkalommal rendezik meg a </w:t>
      </w:r>
      <w:proofErr w:type="spellStart"/>
      <w:r w:rsidRPr="00AF78F0">
        <w:rPr>
          <w:rFonts w:asciiTheme="majorHAnsi" w:hAnsiTheme="majorHAnsi"/>
          <w:sz w:val="22"/>
          <w:szCs w:val="22"/>
          <w:lang w:val="hu-HU"/>
        </w:rPr>
        <w:t>CineGe</w:t>
      </w:r>
      <w:proofErr w:type="spellEnd"/>
      <w:r w:rsidRPr="00AF78F0">
        <w:rPr>
          <w:rFonts w:asciiTheme="majorHAnsi" w:hAnsiTheme="majorHAnsi"/>
          <w:sz w:val="22"/>
          <w:szCs w:val="22"/>
          <w:lang w:val="hu-HU"/>
        </w:rPr>
        <w:t xml:space="preserve"> Nemzetközi Diákfilmfesztivált, valamint a jubileumi év folytatásaként október 12-én, a Művészetek Palotájában közös gálát szerveznek a többi évfordulós művészeti egyetemmel – a Magyar Táncművészeti Egyetemmel, a Liszt Ferenc Zeneművészeti Egyetemmel és a Moholy-Nagy Művészeti Egyetemmel. Az intézmény idén is csatlakozik a Klasszikus Filmmaratonhoz, amelynek vendége ezúttal Joe Eszterhas lesz.</w:t>
      </w:r>
    </w:p>
    <w:p w14:paraId="1CAFC6BA" w14:textId="5B910E37" w:rsidR="003D018C" w:rsidRPr="00857B0A" w:rsidRDefault="003D018C" w:rsidP="00AF78F0">
      <w:pPr>
        <w:pStyle w:val="Default"/>
        <w:spacing w:line="276" w:lineRule="auto"/>
        <w:jc w:val="both"/>
        <w:rPr>
          <w:rFonts w:asciiTheme="majorHAnsi" w:hAnsiTheme="majorHAnsi"/>
          <w:lang w:val="hu-HU"/>
        </w:rPr>
      </w:pPr>
    </w:p>
    <w:p w14:paraId="7256F332" w14:textId="0C156146" w:rsidR="007C54B9" w:rsidRPr="00857B0A" w:rsidRDefault="007C54B9" w:rsidP="007C54B9">
      <w:pPr>
        <w:rPr>
          <w:rFonts w:asciiTheme="majorHAnsi" w:hAnsiTheme="majorHAnsi"/>
        </w:rPr>
      </w:pPr>
      <w:r w:rsidRPr="00857B0A">
        <w:rPr>
          <w:rFonts w:asciiTheme="majorHAnsi" w:hAnsiTheme="majorHAnsi"/>
        </w:rPr>
        <w:t>---</w:t>
      </w:r>
    </w:p>
    <w:p w14:paraId="0CBCAD65" w14:textId="77777777" w:rsidR="007C54B9" w:rsidRPr="00857B0A" w:rsidRDefault="007C54B9" w:rsidP="007C54B9">
      <w:pPr>
        <w:rPr>
          <w:rFonts w:asciiTheme="majorHAnsi" w:hAnsiTheme="majorHAnsi" w:cstheme="minorHAnsi"/>
        </w:rPr>
      </w:pPr>
    </w:p>
    <w:p w14:paraId="3D54A248" w14:textId="77777777" w:rsidR="007C54B9" w:rsidRPr="00857B0A" w:rsidRDefault="007C54B9" w:rsidP="007C54B9">
      <w:pPr>
        <w:rPr>
          <w:rFonts w:asciiTheme="majorHAnsi" w:hAnsiTheme="majorHAnsi" w:cstheme="minorHAnsi"/>
          <w:color w:val="FF0000"/>
        </w:rPr>
      </w:pPr>
      <w:r w:rsidRPr="00857B0A">
        <w:rPr>
          <w:rFonts w:asciiTheme="majorHAnsi" w:hAnsiTheme="majorHAnsi" w:cstheme="minorHAnsi"/>
        </w:rPr>
        <w:t>További információ és kapcsolat:</w:t>
      </w:r>
      <w:bookmarkStart w:id="3" w:name="_Hlk179355690"/>
      <w:r w:rsidRPr="00857B0A">
        <w:rPr>
          <w:rFonts w:asciiTheme="majorHAnsi" w:hAnsiTheme="majorHAnsi" w:cstheme="minorHAnsi"/>
        </w:rPr>
        <w:br/>
      </w:r>
    </w:p>
    <w:tbl>
      <w:tblPr>
        <w:tblW w:w="7257" w:type="dxa"/>
        <w:tblLayout w:type="fixed"/>
        <w:tblLook w:val="04A0" w:firstRow="1" w:lastRow="0" w:firstColumn="1" w:lastColumn="0" w:noHBand="0" w:noVBand="1"/>
      </w:tblPr>
      <w:tblGrid>
        <w:gridCol w:w="3628"/>
        <w:gridCol w:w="3629"/>
      </w:tblGrid>
      <w:tr w:rsidR="007C54B9" w:rsidRPr="00857B0A" w14:paraId="53C3CA48" w14:textId="77777777" w:rsidTr="007F46FD">
        <w:trPr>
          <w:trHeight w:hRule="exact" w:val="798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E26C89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857B0A">
              <w:rPr>
                <w:rFonts w:asciiTheme="majorHAnsi" w:hAnsiTheme="majorHAnsi" w:cstheme="minorHAnsi"/>
                <w:sz w:val="16"/>
                <w:szCs w:val="16"/>
              </w:rPr>
              <w:drawing>
                <wp:inline distT="0" distB="0" distL="0" distR="0" wp14:anchorId="4F1A0400" wp14:editId="13088F11">
                  <wp:extent cx="1635634" cy="369570"/>
                  <wp:effectExtent l="0" t="0" r="3175" b="0"/>
                  <wp:docPr id="1990376968" name="Kép 2" descr="A képen szöveg, Betűtípus, fehér, Grafik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76968" name="Kép 2" descr="A képen szöveg, Betűtípus, fehér, Grafik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43" cy="37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6AAF70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857B0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SIMON</w:t>
            </w:r>
          </w:p>
          <w:p w14:paraId="5ED95CA3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sz w:val="18"/>
                <w:szCs w:val="18"/>
              </w:rPr>
            </w:pPr>
            <w:r w:rsidRPr="00857B0A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IZABELLA</w:t>
            </w:r>
          </w:p>
        </w:tc>
      </w:tr>
      <w:tr w:rsidR="007C54B9" w:rsidRPr="00857B0A" w14:paraId="17D5C9BC" w14:textId="77777777" w:rsidTr="007F46FD">
        <w:trPr>
          <w:trHeight w:val="19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409AB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857B0A">
              <w:rPr>
                <w:rFonts w:asciiTheme="majorHAnsi" w:hAnsiTheme="majorHAnsi" w:cstheme="minorHAnsi"/>
                <w:sz w:val="16"/>
                <w:szCs w:val="16"/>
              </w:rPr>
              <w:t xml:space="preserve"> Kommunikációs és Marketingigazgatóság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63B2F8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857B0A">
              <w:rPr>
                <w:rFonts w:asciiTheme="majorHAnsi" w:hAnsiTheme="majorHAnsi" w:cstheme="minorHAnsi"/>
                <w:sz w:val="16"/>
                <w:szCs w:val="16"/>
              </w:rPr>
              <w:t>Igazgató</w:t>
            </w:r>
          </w:p>
        </w:tc>
      </w:tr>
      <w:tr w:rsidR="007C54B9" w:rsidRPr="00857B0A" w14:paraId="4DD8F5DD" w14:textId="77777777" w:rsidTr="007F46FD">
        <w:trPr>
          <w:trHeight w:hRule="exact" w:val="695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8EBAA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857B0A">
              <w:rPr>
                <w:rFonts w:asciiTheme="majorHAnsi" w:hAnsiTheme="majorHAnsi" w:cstheme="minorHAnsi"/>
                <w:sz w:val="16"/>
                <w:szCs w:val="16"/>
              </w:rPr>
              <w:t xml:space="preserve"> 1117 Budapest, Gábor Dénes utca 4.</w:t>
            </w:r>
            <w:r w:rsidRPr="00857B0A">
              <w:rPr>
                <w:rFonts w:asciiTheme="majorHAnsi" w:hAnsiTheme="majorHAnsi" w:cstheme="minorHAnsi"/>
                <w:sz w:val="16"/>
                <w:szCs w:val="16"/>
              </w:rPr>
              <w:br/>
              <w:t xml:space="preserve"> Infopark, C épület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5C5B5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r w:rsidRPr="00857B0A">
              <w:rPr>
                <w:rFonts w:asciiTheme="majorHAnsi" w:hAnsiTheme="majorHAnsi" w:cstheme="minorHAnsi"/>
                <w:sz w:val="16"/>
                <w:szCs w:val="16"/>
              </w:rPr>
              <w:t>+36 30 087 7282</w:t>
            </w:r>
          </w:p>
          <w:p w14:paraId="715E686C" w14:textId="77777777" w:rsidR="007C54B9" w:rsidRPr="00857B0A" w:rsidRDefault="007C54B9" w:rsidP="007F46FD">
            <w:pPr>
              <w:spacing w:line="240" w:lineRule="auto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" w:history="1">
              <w:r w:rsidRPr="00857B0A">
                <w:rPr>
                  <w:rStyle w:val="Hiperhivatkozs"/>
                  <w:rFonts w:asciiTheme="majorHAnsi" w:hAnsiTheme="majorHAnsi" w:cstheme="minorHAnsi"/>
                  <w:sz w:val="16"/>
                  <w:szCs w:val="16"/>
                </w:rPr>
                <w:t>simon.izabella@szfe.hu</w:t>
              </w:r>
            </w:hyperlink>
            <w:r w:rsidRPr="00857B0A">
              <w:rPr>
                <w:rFonts w:asciiTheme="majorHAnsi" w:hAnsiTheme="majorHAnsi" w:cstheme="minorHAnsi"/>
                <w:sz w:val="16"/>
                <w:szCs w:val="16"/>
              </w:rPr>
              <w:br/>
            </w:r>
            <w:hyperlink r:id="rId8" w:history="1">
              <w:r w:rsidRPr="00857B0A">
                <w:rPr>
                  <w:rStyle w:val="Hiperhivatkozs"/>
                  <w:rFonts w:asciiTheme="majorHAnsi" w:hAnsiTheme="majorHAnsi" w:cstheme="minorHAnsi"/>
                  <w:sz w:val="16"/>
                  <w:szCs w:val="16"/>
                </w:rPr>
                <w:t>szfe.hu</w:t>
              </w:r>
            </w:hyperlink>
          </w:p>
        </w:tc>
      </w:tr>
    </w:tbl>
    <w:p w14:paraId="175CF83A" w14:textId="77777777" w:rsidR="007C54B9" w:rsidRPr="00857B0A" w:rsidRDefault="007C54B9" w:rsidP="007C54B9">
      <w:pPr>
        <w:rPr>
          <w:rFonts w:asciiTheme="majorHAnsi" w:hAnsiTheme="majorHAnsi" w:cstheme="minorHAnsi"/>
          <w:sz w:val="16"/>
          <w:szCs w:val="16"/>
        </w:rPr>
      </w:pPr>
    </w:p>
    <w:p w14:paraId="64AB93D9" w14:textId="77777777" w:rsidR="007C54B9" w:rsidRPr="00857B0A" w:rsidRDefault="007C54B9" w:rsidP="007C54B9">
      <w:pPr>
        <w:rPr>
          <w:rFonts w:asciiTheme="majorHAnsi" w:hAnsiTheme="majorHAnsi" w:cstheme="minorHAnsi"/>
        </w:rPr>
      </w:pPr>
    </w:p>
    <w:p w14:paraId="2553D050" w14:textId="77777777" w:rsidR="007C54B9" w:rsidRPr="00857B0A" w:rsidRDefault="007C54B9" w:rsidP="007C54B9">
      <w:pPr>
        <w:rPr>
          <w:rFonts w:asciiTheme="majorHAnsi" w:hAnsiTheme="majorHAnsi" w:cstheme="minorHAnsi"/>
        </w:rPr>
      </w:pPr>
    </w:p>
    <w:bookmarkEnd w:id="3"/>
    <w:p w14:paraId="1B6B56CB" w14:textId="77777777" w:rsidR="007C54B9" w:rsidRPr="00857B0A" w:rsidRDefault="007C54B9" w:rsidP="007C54B9">
      <w:pPr>
        <w:rPr>
          <w:rFonts w:asciiTheme="majorHAnsi" w:hAnsiTheme="majorHAnsi" w:cstheme="minorHAnsi"/>
        </w:rPr>
      </w:pPr>
    </w:p>
    <w:p w14:paraId="7FED7964" w14:textId="77777777" w:rsidR="007C54B9" w:rsidRPr="00857B0A" w:rsidRDefault="007C54B9" w:rsidP="007C54B9">
      <w:pPr>
        <w:rPr>
          <w:rFonts w:asciiTheme="majorHAnsi" w:hAnsiTheme="majorHAnsi" w:cstheme="minorHAnsi"/>
          <w:sz w:val="20"/>
          <w:szCs w:val="20"/>
        </w:rPr>
      </w:pPr>
    </w:p>
    <w:bookmarkEnd w:id="2"/>
    <w:p w14:paraId="5456F4C0" w14:textId="77777777" w:rsidR="007C54B9" w:rsidRPr="00857B0A" w:rsidRDefault="007C54B9" w:rsidP="007C54B9">
      <w:pPr>
        <w:rPr>
          <w:rFonts w:asciiTheme="majorHAnsi" w:hAnsiTheme="majorHAnsi" w:cstheme="minorHAnsi"/>
        </w:rPr>
      </w:pPr>
    </w:p>
    <w:bookmarkEnd w:id="0"/>
    <w:p w14:paraId="26F85AAB" w14:textId="77777777" w:rsidR="007C54B9" w:rsidRPr="00857B0A" w:rsidRDefault="007C54B9" w:rsidP="007C54B9">
      <w:pPr>
        <w:rPr>
          <w:rFonts w:asciiTheme="majorHAnsi" w:hAnsiTheme="majorHAnsi" w:cstheme="minorHAnsi"/>
        </w:rPr>
      </w:pPr>
    </w:p>
    <w:p w14:paraId="20BB21B2" w14:textId="77777777" w:rsidR="007C54B9" w:rsidRPr="00857B0A" w:rsidRDefault="007C54B9" w:rsidP="007C54B9">
      <w:pPr>
        <w:rPr>
          <w:rFonts w:asciiTheme="majorHAnsi" w:hAnsiTheme="majorHAnsi"/>
        </w:rPr>
      </w:pPr>
    </w:p>
    <w:bookmarkEnd w:id="1"/>
    <w:p w14:paraId="46087FC2" w14:textId="77777777" w:rsidR="007C54B9" w:rsidRPr="00857B0A" w:rsidRDefault="007C54B9" w:rsidP="007C54B9">
      <w:pPr>
        <w:rPr>
          <w:rFonts w:asciiTheme="majorHAnsi" w:hAnsiTheme="majorHAnsi"/>
        </w:rPr>
      </w:pPr>
    </w:p>
    <w:p w14:paraId="47FD7126" w14:textId="4F470EFF" w:rsidR="007C54B9" w:rsidRPr="00857B0A" w:rsidRDefault="007C54B9">
      <w:pPr>
        <w:rPr>
          <w:rFonts w:asciiTheme="majorHAnsi" w:hAnsiTheme="majorHAnsi"/>
        </w:rPr>
      </w:pPr>
      <w:r w:rsidRPr="00857B0A">
        <w:rPr>
          <w:rFonts w:asciiTheme="majorHAnsi" w:hAnsiTheme="majorHAnsi"/>
        </w:rPr>
        <w:t xml:space="preserve"> </w:t>
      </w:r>
    </w:p>
    <w:sectPr w:rsidR="007C54B9" w:rsidRPr="00857B0A" w:rsidSect="007C54B9"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36FE" w14:textId="77777777" w:rsidR="006A4B20" w:rsidRPr="00857B0A" w:rsidRDefault="006A4B20">
      <w:pPr>
        <w:spacing w:line="240" w:lineRule="auto"/>
      </w:pPr>
      <w:r w:rsidRPr="00857B0A">
        <w:separator/>
      </w:r>
    </w:p>
  </w:endnote>
  <w:endnote w:type="continuationSeparator" w:id="0">
    <w:p w14:paraId="10D3710C" w14:textId="77777777" w:rsidR="006A4B20" w:rsidRPr="00857B0A" w:rsidRDefault="006A4B20">
      <w:pPr>
        <w:spacing w:line="240" w:lineRule="auto"/>
      </w:pPr>
      <w:r w:rsidRPr="00857B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AFC" w14:textId="77777777" w:rsidR="004B2DA1" w:rsidRPr="00857B0A" w:rsidRDefault="004B2DA1" w:rsidP="00A44C4C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A44C4C" w:rsidRPr="00857B0A" w14:paraId="79A7FFE8" w14:textId="77777777" w:rsidTr="00781727">
      <w:tc>
        <w:tcPr>
          <w:tcW w:w="3784" w:type="dxa"/>
          <w:vAlign w:val="center"/>
        </w:tcPr>
        <w:p w14:paraId="37668191" w14:textId="77777777" w:rsidR="004B2DA1" w:rsidRPr="00857B0A" w:rsidRDefault="00000000" w:rsidP="00A44C4C">
          <w:pPr>
            <w:pStyle w:val="lfej"/>
          </w:pPr>
          <w:r w:rsidRPr="00857B0A">
            <w:drawing>
              <wp:inline distT="0" distB="0" distL="0" distR="0" wp14:anchorId="3977BF77" wp14:editId="41F8FEBD">
                <wp:extent cx="944880" cy="227610"/>
                <wp:effectExtent l="0" t="0" r="7620" b="1270"/>
                <wp:docPr id="185093174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72855E1B" w14:textId="77777777" w:rsidR="004B2DA1" w:rsidRPr="00857B0A" w:rsidRDefault="004B2DA1" w:rsidP="00A44C4C">
          <w:pPr>
            <w:pStyle w:val="PostaiCm"/>
          </w:pPr>
        </w:p>
      </w:tc>
      <w:tc>
        <w:tcPr>
          <w:tcW w:w="3841" w:type="dxa"/>
          <w:vAlign w:val="center"/>
        </w:tcPr>
        <w:p w14:paraId="01782820" w14:textId="77777777" w:rsidR="004B2DA1" w:rsidRPr="00857B0A" w:rsidRDefault="00000000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857B0A">
              <w:rPr>
                <w:b/>
                <w:bCs/>
              </w:rPr>
              <w:t>www.szfe.hu</w:t>
            </w:r>
          </w:hyperlink>
        </w:p>
      </w:tc>
    </w:tr>
  </w:tbl>
  <w:p w14:paraId="3D114E89" w14:textId="77777777" w:rsidR="004B2DA1" w:rsidRPr="00857B0A" w:rsidRDefault="004B2DA1" w:rsidP="00A44C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94E3" w14:textId="77777777" w:rsidR="004B2DA1" w:rsidRPr="00857B0A" w:rsidRDefault="004B2DA1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3A5585" w:rsidRPr="00857B0A" w14:paraId="07A0CE12" w14:textId="77777777" w:rsidTr="00781727">
      <w:tc>
        <w:tcPr>
          <w:tcW w:w="3784" w:type="dxa"/>
          <w:vAlign w:val="center"/>
        </w:tcPr>
        <w:p w14:paraId="035CBEC8" w14:textId="77777777" w:rsidR="004B2DA1" w:rsidRPr="00857B0A" w:rsidRDefault="00000000" w:rsidP="00A44C4C">
          <w:pPr>
            <w:pStyle w:val="lfej"/>
          </w:pPr>
          <w:r w:rsidRPr="00857B0A">
            <w:drawing>
              <wp:inline distT="0" distB="0" distL="0" distR="0" wp14:anchorId="2015D1A4" wp14:editId="00184032">
                <wp:extent cx="944880" cy="227610"/>
                <wp:effectExtent l="0" t="0" r="7620" b="1270"/>
                <wp:docPr id="8976421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180FAAF1" w14:textId="77777777" w:rsidR="004B2DA1" w:rsidRPr="00857B0A" w:rsidRDefault="004B2DA1" w:rsidP="003A5585">
          <w:pPr>
            <w:pStyle w:val="PostaiCm"/>
          </w:pPr>
        </w:p>
      </w:tc>
      <w:tc>
        <w:tcPr>
          <w:tcW w:w="3841" w:type="dxa"/>
          <w:vAlign w:val="center"/>
        </w:tcPr>
        <w:p w14:paraId="2C1DA071" w14:textId="77777777" w:rsidR="004B2DA1" w:rsidRPr="00857B0A" w:rsidRDefault="00000000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857B0A">
              <w:rPr>
                <w:b/>
                <w:bCs/>
              </w:rPr>
              <w:t>www.szfe.hu</w:t>
            </w:r>
          </w:hyperlink>
        </w:p>
      </w:tc>
    </w:tr>
  </w:tbl>
  <w:p w14:paraId="3F0E32CD" w14:textId="77777777" w:rsidR="004B2DA1" w:rsidRPr="00857B0A" w:rsidRDefault="004B2DA1" w:rsidP="00A303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731E" w14:textId="77777777" w:rsidR="006A4B20" w:rsidRPr="00857B0A" w:rsidRDefault="006A4B20">
      <w:pPr>
        <w:spacing w:line="240" w:lineRule="auto"/>
      </w:pPr>
      <w:r w:rsidRPr="00857B0A">
        <w:separator/>
      </w:r>
    </w:p>
  </w:footnote>
  <w:footnote w:type="continuationSeparator" w:id="0">
    <w:p w14:paraId="139EAFED" w14:textId="77777777" w:rsidR="006A4B20" w:rsidRPr="00857B0A" w:rsidRDefault="006A4B20">
      <w:pPr>
        <w:spacing w:line="240" w:lineRule="auto"/>
      </w:pPr>
      <w:r w:rsidRPr="00857B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6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737"/>
      <w:gridCol w:w="3105"/>
    </w:tblGrid>
    <w:tr w:rsidR="003A5585" w:rsidRPr="00857B0A" w14:paraId="507C59C8" w14:textId="77777777" w:rsidTr="00A30383">
      <w:tc>
        <w:tcPr>
          <w:tcW w:w="3784" w:type="dxa"/>
        </w:tcPr>
        <w:p w14:paraId="538C47BA" w14:textId="77777777" w:rsidR="004B2DA1" w:rsidRPr="00857B0A" w:rsidRDefault="00000000">
          <w:pPr>
            <w:pStyle w:val="lfej"/>
          </w:pPr>
          <w:r w:rsidRPr="00857B0A">
            <w:drawing>
              <wp:inline distT="0" distB="0" distL="0" distR="0" wp14:anchorId="08516F95" wp14:editId="37324F37">
                <wp:extent cx="2265680" cy="480695"/>
                <wp:effectExtent l="0" t="0" r="0" b="0"/>
                <wp:docPr id="432355448" name="officeArt object" descr="SZFE_Blac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fficeArt object" descr="SZFE_Blac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680" cy="4806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7" w:type="dxa"/>
        </w:tcPr>
        <w:p w14:paraId="47A880AA" w14:textId="77777777" w:rsidR="004B2DA1" w:rsidRPr="00857B0A" w:rsidRDefault="004B2DA1">
          <w:pPr>
            <w:pStyle w:val="lfej"/>
          </w:pPr>
        </w:p>
      </w:tc>
      <w:tc>
        <w:tcPr>
          <w:tcW w:w="3105" w:type="dxa"/>
        </w:tcPr>
        <w:p w14:paraId="265CC849" w14:textId="77777777" w:rsidR="004B2DA1" w:rsidRPr="00857B0A" w:rsidRDefault="004B2DA1" w:rsidP="003A1FA4">
          <w:pPr>
            <w:pStyle w:val="PostaiCm"/>
          </w:pPr>
        </w:p>
      </w:tc>
    </w:tr>
  </w:tbl>
  <w:p w14:paraId="4D8D2F83" w14:textId="77777777" w:rsidR="004B2DA1" w:rsidRPr="00857B0A" w:rsidRDefault="004B2DA1" w:rsidP="001B5E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B9"/>
    <w:rsid w:val="00286532"/>
    <w:rsid w:val="00332500"/>
    <w:rsid w:val="00371EB0"/>
    <w:rsid w:val="003D018C"/>
    <w:rsid w:val="00430915"/>
    <w:rsid w:val="004B2DA1"/>
    <w:rsid w:val="00531A43"/>
    <w:rsid w:val="00531A80"/>
    <w:rsid w:val="00571D38"/>
    <w:rsid w:val="00627E9F"/>
    <w:rsid w:val="006A4B20"/>
    <w:rsid w:val="007C54B9"/>
    <w:rsid w:val="00833A58"/>
    <w:rsid w:val="00857B0A"/>
    <w:rsid w:val="009F695C"/>
    <w:rsid w:val="00A8736A"/>
    <w:rsid w:val="00AF78F0"/>
    <w:rsid w:val="00BB43C8"/>
    <w:rsid w:val="00C86F76"/>
    <w:rsid w:val="00D00574"/>
    <w:rsid w:val="00D85E43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903A"/>
  <w15:chartTrackingRefBased/>
  <w15:docId w15:val="{508DCE2C-0903-4278-ACFD-D853937A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54B9"/>
    <w:pPr>
      <w:spacing w:after="0" w:line="276" w:lineRule="auto"/>
    </w:pPr>
    <w:rPr>
      <w:rFonts w:ascii="Poppins" w:eastAsia="Arial" w:hAnsi="Poppins" w:cs="Arial"/>
      <w:kern w:val="0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C54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54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54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54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54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54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54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54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54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54B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54B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54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54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54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54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C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54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C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54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C54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54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Erskiemels">
    <w:name w:val="Intense Emphasis"/>
    <w:basedOn w:val="Bekezdsalapbettpusa"/>
    <w:uiPriority w:val="21"/>
    <w:qFormat/>
    <w:rsid w:val="007C54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54B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54B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C54B9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C54B9"/>
  </w:style>
  <w:style w:type="paragraph" w:styleId="llb">
    <w:name w:val="footer"/>
    <w:basedOn w:val="Norml"/>
    <w:link w:val="llbChar"/>
    <w:uiPriority w:val="99"/>
    <w:unhideWhenUsed/>
    <w:rsid w:val="007C54B9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C54B9"/>
  </w:style>
  <w:style w:type="table" w:styleId="Rcsostblzat">
    <w:name w:val="Table Grid"/>
    <w:basedOn w:val="Normltblzat"/>
    <w:uiPriority w:val="39"/>
    <w:rsid w:val="007C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iCm">
    <w:name w:val="Postai Cím"/>
    <w:rsid w:val="007C54B9"/>
    <w:pPr>
      <w:spacing w:after="0" w:line="240" w:lineRule="auto"/>
      <w:jc w:val="both"/>
    </w:pPr>
    <w:rPr>
      <w:rFonts w:ascii="Rubik Regular" w:eastAsia="Arial Unicode MS" w:hAnsi="Rubik Regular" w:cs="Arial Unicode MS"/>
      <w:color w:val="000000"/>
      <w:kern w:val="0"/>
      <w:sz w:val="16"/>
      <w:szCs w:val="16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hivatkozs">
    <w:name w:val="Hyperlink"/>
    <w:basedOn w:val="Bekezdsalapbettpusa"/>
    <w:uiPriority w:val="99"/>
    <w:unhideWhenUsed/>
    <w:rsid w:val="007C54B9"/>
    <w:rPr>
      <w:color w:val="467886" w:themeColor="hyperlink"/>
      <w:u w:val="single"/>
    </w:rPr>
  </w:style>
  <w:style w:type="paragraph" w:customStyle="1" w:styleId="Default">
    <w:name w:val="Default"/>
    <w:rsid w:val="00531A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n-GB"/>
    </w:rPr>
  </w:style>
  <w:style w:type="paragraph" w:styleId="NormlWeb">
    <w:name w:val="Normal (Web)"/>
    <w:basedOn w:val="Norml"/>
    <w:uiPriority w:val="99"/>
    <w:semiHidden/>
    <w:unhideWhenUsed/>
    <w:rsid w:val="00AF78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fe.h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mon.izabella@szfe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Izabella</dc:creator>
  <cp:keywords/>
  <dc:description/>
  <cp:lastModifiedBy>Simon Izabella</cp:lastModifiedBy>
  <cp:revision>2</cp:revision>
  <cp:lastPrinted>2025-07-14T15:06:00Z</cp:lastPrinted>
  <dcterms:created xsi:type="dcterms:W3CDTF">2025-07-14T16:29:00Z</dcterms:created>
  <dcterms:modified xsi:type="dcterms:W3CDTF">2025-07-14T16:29:00Z</dcterms:modified>
</cp:coreProperties>
</file>